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66 vom 12. Dezember 2022</w:t>
      </w:r>
    </w:p>
    <w:p>
      <w:r>
        <w:t>VS Kantonsgericht, 2022-12-12, FR</w:t>
      </w:r>
    </w:p>
    <w:p>
      <w:r>
        <w:rPr>
          <w:b/>
        </w:rPr>
        <w:t xml:space="preserve">Quelle: </w:t>
      </w:r>
      <w:r>
        <w:t>https://mcp.opencaselaw.ch/entscheid/vs_gerichte_S2 22 66</w:t>
      </w:r>
    </w:p>
    <w:p>
      <w:r>
        <w:t>FR: VS_GERICHTE S2 22 66 du 12 décembre 2022</w:t>
      </w:r>
    </w:p>
    <w:p>
      <w:r>
        <w:t>IT: VS_GERICHTE S2 22 66 del 12 dicembre 2022</w:t>
      </w:r>
    </w:p>
    <w:p>
      <w:pPr>
        <w:pStyle w:val="Heading2"/>
      </w:pPr>
      <w:r>
        <w:t>Regeste</w:t>
      </w:r>
    </w:p>
    <w:p>
      <w:r>
        <w:t>S2 22 66 JUGEMENT DU 12 DÉCEMBRE 2022 Tribunal cantonal du Valais Cour des assurances sociales Composition : Candido Prada, président ; Thomas Brunner et Christophe Joris, juges ; Pierre-André Moix, greffier en la cause X _________, recourant contre Y _________ SA, intimée, représentée par Maître M _________, avocat (Valeur probante d’une expertise)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Daté du 5 février 2021 et réceptionné le 11 février 2021, le recours à l'encontre de la décision sur opposition du 11 janvier précédent a été interjeté dans le délai légal de trente jours (art. 60 LPGA). Déposé devant un tribunal incompétent à raison du lieu, il a été transmis par acte du 14 septembre 2022 à la Cour de céans, compétente compte tenu du fait que le dernier domicile en Suisse du recourant se trouvait en Valais (art. 58 al. 2 LPGA). Il répond par ailleurs aux autres conditions formelles de recevabilité (art. 61 let. b LPGA), de sorte que la Cour doit entrer en matière. 2.1 Le litige porte sur la prise en charge par l'intimée du traitement médical du recourant ainsi que sur le droit au versement d'indemnités journalières pour la période postérieure au 3 mars 2020. 2.2 Selon l’article 6 alinéa 1 LAA, les prestations d’assurance sont allouées en cas d’accident professionnel, d’accident non professionnel et de maladie professionnelle. Parmi ces prestations figurent notamment le droit au traitement médical approprié des lésions résultant de l’accident (art. 10 al. 1 LAA), le versement d’une rente d’invalidité (art. 18 al. 1 LAA) et d’une indemnité pour atteinte à l’intégrité (art. 24 al. 1 LAA).</w:t>
      </w:r>
    </w:p>
    <w:p>
      <w:r>
        <w:t>- 7 - L’article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2.3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arrêt 8C_595/2017 du 16 mai 2018 consid. 3.1 et les références citées). 2.4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- 8 -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 arrêts 8C_1003/2010 du 22 novembre 2011 consid. 1.2 ; 8C_552/2007 du 19 février 2008 consid. 2). A contrario, aussi longtemps que le statu quo sine vel ante n’est pas rétabli, l’assureur- accidents doit prendre à sa charge le traitement de l’état maladif préexistant, dans la mesure où il s’est manifesté à l’occasion de l’accident ou a été aggravé par ce dernier (arrêt 8C_373/2013 du 11 mars 2014 consid. 3.2).</w:t>
      </w:r>
    </w:p>
    <w:p>
      <w:r>
        <w:rPr>
          <w:b/>
        </w:rPr>
        <w:t>E. 3</w:t>
      </w:r>
    </w:p>
    <w:p>
      <w:r>
        <w:t>Il n'est pas perçu de frais, ni alloué de dépens.</w:t>
      </w:r>
    </w:p>
    <w:p>
      <w:r>
        <w:t>Sion, le 12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